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18" w:rsidRDefault="00755518" w:rsidP="00217299">
      <w:pPr>
        <w:pStyle w:val="Ttulo1"/>
      </w:pPr>
      <w:r w:rsidRPr="009A4428">
        <w:t>INFORME</w:t>
      </w:r>
    </w:p>
    <w:p w:rsidR="00217299" w:rsidRPr="00217299" w:rsidRDefault="00217299" w:rsidP="00217299"/>
    <w:p w:rsidR="00755518" w:rsidRPr="00217299" w:rsidRDefault="00F222E2" w:rsidP="009A4428">
      <w:pPr>
        <w:jc w:val="both"/>
        <w:rPr>
          <w:b/>
          <w:sz w:val="28"/>
          <w:szCs w:val="28"/>
        </w:rPr>
      </w:pPr>
      <w:r w:rsidRPr="00217299">
        <w:rPr>
          <w:b/>
          <w:sz w:val="28"/>
          <w:szCs w:val="28"/>
        </w:rPr>
        <w:t>Normativa</w:t>
      </w:r>
      <w:r w:rsidR="00755518" w:rsidRPr="00217299">
        <w:rPr>
          <w:b/>
          <w:sz w:val="28"/>
          <w:szCs w:val="28"/>
        </w:rPr>
        <w:t xml:space="preserve"> sobre las Entidades de Previsión Social Voluntaria</w:t>
      </w:r>
      <w:r w:rsidRPr="00217299">
        <w:rPr>
          <w:b/>
          <w:sz w:val="28"/>
          <w:szCs w:val="28"/>
        </w:rPr>
        <w:t xml:space="preserve"> de Euskadi</w:t>
      </w:r>
    </w:p>
    <w:p w:rsidR="00B9697C" w:rsidRPr="009A4428" w:rsidRDefault="00B9697C" w:rsidP="00217299">
      <w:pPr>
        <w:ind w:firstLine="708"/>
        <w:jc w:val="both"/>
        <w:rPr>
          <w:sz w:val="24"/>
          <w:szCs w:val="24"/>
        </w:rPr>
      </w:pPr>
      <w:r w:rsidRPr="009A4428">
        <w:rPr>
          <w:sz w:val="24"/>
          <w:szCs w:val="24"/>
        </w:rPr>
        <w:t xml:space="preserve">Desde su origen, las entidades de previsión social voluntaria nacieron para ejercer la previsión social voluntaria dirigida a proteger a las personas afectadas contra circunstancias de carácter fortuito o previsible. </w:t>
      </w:r>
      <w:r w:rsidR="00F222E2" w:rsidRPr="009A4428">
        <w:rPr>
          <w:sz w:val="24"/>
          <w:szCs w:val="24"/>
        </w:rPr>
        <w:t>Se trata de</w:t>
      </w:r>
      <w:r w:rsidRPr="009A4428">
        <w:rPr>
          <w:sz w:val="24"/>
          <w:szCs w:val="24"/>
        </w:rPr>
        <w:t xml:space="preserve"> entidades sin ánimo de lucro y que ejercen su trabajo fuera del ámbito del régimen público de seguridad social.</w:t>
      </w:r>
    </w:p>
    <w:p w:rsidR="00B9697C" w:rsidRPr="009A4428" w:rsidRDefault="00B9697C" w:rsidP="00217299">
      <w:pPr>
        <w:ind w:firstLine="708"/>
        <w:jc w:val="both"/>
        <w:rPr>
          <w:sz w:val="24"/>
          <w:szCs w:val="24"/>
        </w:rPr>
      </w:pPr>
      <w:r w:rsidRPr="009A4428">
        <w:rPr>
          <w:sz w:val="24"/>
          <w:szCs w:val="24"/>
        </w:rPr>
        <w:t>La Comunidad Autónoma de Euskadi cuenta con competencia exclusiva en materia de mutualidades no integradas en la Seguridad Social, y así se establece en el</w:t>
      </w:r>
      <w:r w:rsidR="00F222E2" w:rsidRPr="009A4428">
        <w:rPr>
          <w:sz w:val="24"/>
          <w:szCs w:val="24"/>
        </w:rPr>
        <w:t xml:space="preserve"> artículo 10.23 del</w:t>
      </w:r>
      <w:r w:rsidRPr="009A4428">
        <w:rPr>
          <w:sz w:val="24"/>
          <w:szCs w:val="24"/>
        </w:rPr>
        <w:t xml:space="preserve"> Esta</w:t>
      </w:r>
      <w:r w:rsidR="00F222E2" w:rsidRPr="009A4428">
        <w:rPr>
          <w:sz w:val="24"/>
          <w:szCs w:val="24"/>
        </w:rPr>
        <w:t>tuto de Autonomía de Euskadi. Además, podrán llevar a cabo el desarrollo legislativo y la ejecución dentro de su territorio de las bases, en los términos que las mismas señalen, en materia de seguros.</w:t>
      </w:r>
    </w:p>
    <w:p w:rsidR="00F222E2" w:rsidRPr="009A4428" w:rsidRDefault="00F222E2" w:rsidP="00217299">
      <w:pPr>
        <w:ind w:firstLine="708"/>
        <w:jc w:val="both"/>
        <w:rPr>
          <w:sz w:val="24"/>
          <w:szCs w:val="24"/>
        </w:rPr>
      </w:pPr>
      <w:r w:rsidRPr="009A4428">
        <w:rPr>
          <w:sz w:val="24"/>
          <w:szCs w:val="24"/>
        </w:rPr>
        <w:t>La primera Ley aprobada en el Parlamento Vasco fue la Ley 25/1983, de 27 de octubre, sobre Entidades de Previsión Social Voluntaria, cuyos objetivos prioritarios y principios informadores eran fomentar la libertad de actuación y desarrollo de las citadas entidades y velar, en todo momento, por los derechos de las personas asociadas. Dicha ley constituyó, en su momento, la primera regulación autonómica sobre la materia, y ha servido para el nacimiento fructífero y desarrollo satisfactorio posterior de dichas entidades en el País Vasco.</w:t>
      </w:r>
    </w:p>
    <w:p w:rsidR="00F222E2" w:rsidRDefault="00F222E2" w:rsidP="00217299">
      <w:pPr>
        <w:ind w:firstLine="708"/>
        <w:jc w:val="both"/>
        <w:rPr>
          <w:sz w:val="24"/>
          <w:szCs w:val="24"/>
        </w:rPr>
      </w:pPr>
      <w:r w:rsidRPr="009A4428">
        <w:rPr>
          <w:sz w:val="24"/>
          <w:szCs w:val="24"/>
        </w:rPr>
        <w:t xml:space="preserve">Sin embargo, la Unión Europea ha venido insistiendo en la necesidad de profundizar en el análisis de los sistemas públicos de seguridad social ante la evolución demográfica de la sociedad europea, así como en el papel que pueden desempeñar los sistemas complementarios como refuerzo de los clásicos e irrenunciables sistemas públicos, por lo que estos representan como instrumento para el logro de la solidaridad </w:t>
      </w:r>
      <w:proofErr w:type="spellStart"/>
      <w:r w:rsidRPr="009A4428">
        <w:rPr>
          <w:sz w:val="24"/>
          <w:szCs w:val="24"/>
        </w:rPr>
        <w:t>intergeneracional</w:t>
      </w:r>
      <w:proofErr w:type="spellEnd"/>
      <w:r w:rsidRPr="009A4428">
        <w:rPr>
          <w:sz w:val="24"/>
          <w:szCs w:val="24"/>
        </w:rPr>
        <w:t xml:space="preserve"> y la cohesión social. Asimismo, aconseja e impulsa el desarrollo y crecimiento de los sistemas complementarios, particularmente de los sistemas colectivos nacidos en el marco de las empresas o sectores de </w:t>
      </w:r>
      <w:r w:rsidR="00560E44" w:rsidRPr="009A4428">
        <w:rPr>
          <w:sz w:val="24"/>
          <w:szCs w:val="24"/>
        </w:rPr>
        <w:t>la actividad económica y fomentada</w:t>
      </w:r>
      <w:r w:rsidRPr="009A4428">
        <w:rPr>
          <w:sz w:val="24"/>
          <w:szCs w:val="24"/>
        </w:rPr>
        <w:t xml:space="preserve"> por la negociación colectiva.</w:t>
      </w:r>
      <w:r w:rsidR="00560E44" w:rsidRPr="009A4428">
        <w:rPr>
          <w:sz w:val="24"/>
          <w:szCs w:val="24"/>
        </w:rPr>
        <w:t xml:space="preserve"> A nivel europeo, se debe tener en cuenta la Directiva 2003/41/CE, de 3 de junio, relativa a las actividades y supervisión de fondos de pensiones de empleo, que establece las normas relativas al acceso y al ejercicio de las actividades realizadas por los fondos de pensiones de empleo en los términos de sus consideraciones y articulado.</w:t>
      </w:r>
    </w:p>
    <w:p w:rsidR="009A4428" w:rsidRDefault="009A4428" w:rsidP="00217299">
      <w:pPr>
        <w:ind w:firstLine="708"/>
        <w:jc w:val="both"/>
        <w:rPr>
          <w:sz w:val="24"/>
          <w:szCs w:val="24"/>
        </w:rPr>
      </w:pPr>
      <w:r>
        <w:rPr>
          <w:sz w:val="24"/>
          <w:szCs w:val="24"/>
        </w:rPr>
        <w:t xml:space="preserve">Por otro lado, también hay que tener en cuenta </w:t>
      </w:r>
      <w:r w:rsidRPr="009A4428">
        <w:rPr>
          <w:sz w:val="24"/>
          <w:szCs w:val="24"/>
        </w:rPr>
        <w:t xml:space="preserve">el Plan de Previsión Social Complementaria de Euskadi, aprobado por el Gobierno Vasco el 10 de enero de 2006, </w:t>
      </w:r>
      <w:r>
        <w:rPr>
          <w:sz w:val="24"/>
          <w:szCs w:val="24"/>
        </w:rPr>
        <w:t xml:space="preserve">que </w:t>
      </w:r>
      <w:r w:rsidRPr="009A4428">
        <w:rPr>
          <w:sz w:val="24"/>
          <w:szCs w:val="24"/>
        </w:rPr>
        <w:t xml:space="preserve">constituyó un importante referente en la preparación de </w:t>
      </w:r>
      <w:r>
        <w:rPr>
          <w:sz w:val="24"/>
          <w:szCs w:val="24"/>
        </w:rPr>
        <w:t>la</w:t>
      </w:r>
      <w:r w:rsidRPr="009A4428">
        <w:rPr>
          <w:sz w:val="24"/>
          <w:szCs w:val="24"/>
        </w:rPr>
        <w:t xml:space="preserve"> reforma, asentada en </w:t>
      </w:r>
      <w:r w:rsidRPr="009A4428">
        <w:rPr>
          <w:sz w:val="24"/>
          <w:szCs w:val="24"/>
        </w:rPr>
        <w:lastRenderedPageBreak/>
        <w:t>dos pilares fundamentales: buscar la máxima adecuación de la previsión social complementaria a los nuevos retos derivados de la evolución del contexto demográfico, social, económico y financiero, y potenciar los sistemas colectivos de previsión, fundamentalmente los sistemas de empleo.</w:t>
      </w:r>
    </w:p>
    <w:p w:rsidR="009A4428" w:rsidRPr="009A4428" w:rsidRDefault="009A4428" w:rsidP="00217299">
      <w:pPr>
        <w:ind w:firstLine="708"/>
        <w:jc w:val="both"/>
        <w:rPr>
          <w:bCs/>
          <w:sz w:val="24"/>
          <w:szCs w:val="24"/>
        </w:rPr>
      </w:pPr>
      <w:r>
        <w:rPr>
          <w:sz w:val="24"/>
          <w:szCs w:val="24"/>
        </w:rPr>
        <w:t xml:space="preserve">La necesidad de reforma, llevo al legislador a redactar la </w:t>
      </w:r>
      <w:r>
        <w:rPr>
          <w:bCs/>
          <w:sz w:val="24"/>
          <w:szCs w:val="24"/>
        </w:rPr>
        <w:t>Ley</w:t>
      </w:r>
      <w:r w:rsidRPr="009A4428">
        <w:rPr>
          <w:bCs/>
          <w:sz w:val="24"/>
          <w:szCs w:val="24"/>
        </w:rPr>
        <w:t xml:space="preserve"> 5/2012, de 23 de febrero, sobre Entidades de Previsión Social Voluntaria</w:t>
      </w:r>
      <w:r>
        <w:rPr>
          <w:bCs/>
          <w:sz w:val="24"/>
          <w:szCs w:val="24"/>
        </w:rPr>
        <w:t>, vigente en estos momentos. Esta norma busca contribuir a generalizar</w:t>
      </w:r>
      <w:r w:rsidRPr="009A4428">
        <w:rPr>
          <w:bCs/>
          <w:sz w:val="24"/>
          <w:szCs w:val="24"/>
        </w:rPr>
        <w:t xml:space="preserve"> la previsión social complementaria entre la ciudadanía del País Vasco, fomentando especialmente los sistemas colectivos y los de empleo, y clarificar y actualizar la normativa reguladora, incorporando conceptos y regulaciones que el acervo legislativo más próximo, tanto europeo como estatal, ha venido creando.</w:t>
      </w:r>
      <w:r>
        <w:rPr>
          <w:bCs/>
          <w:sz w:val="24"/>
          <w:szCs w:val="24"/>
        </w:rPr>
        <w:t xml:space="preserve"> Además, </w:t>
      </w:r>
      <w:r w:rsidRPr="009A4428">
        <w:rPr>
          <w:bCs/>
          <w:sz w:val="24"/>
          <w:szCs w:val="24"/>
        </w:rPr>
        <w:t> persigue</w:t>
      </w:r>
      <w:r>
        <w:rPr>
          <w:bCs/>
          <w:sz w:val="24"/>
          <w:szCs w:val="24"/>
        </w:rPr>
        <w:t xml:space="preserve"> </w:t>
      </w:r>
      <w:r w:rsidRPr="009A4428">
        <w:rPr>
          <w:bCs/>
          <w:sz w:val="24"/>
          <w:szCs w:val="24"/>
        </w:rPr>
        <w:t>reforzar la transparencia, la eficiencia, la solvencia, la innovación y la profesionalidad de la gestión de las entidades, así como los mecanismos de tutela y control de los poderes públicos para proteger los intereses de los colectivos protegidos.</w:t>
      </w:r>
    </w:p>
    <w:p w:rsidR="009A4428" w:rsidRPr="009A4428" w:rsidRDefault="009A4428" w:rsidP="00217299">
      <w:pPr>
        <w:ind w:firstLine="708"/>
        <w:jc w:val="both"/>
        <w:rPr>
          <w:sz w:val="24"/>
          <w:szCs w:val="24"/>
        </w:rPr>
      </w:pPr>
      <w:r w:rsidRPr="009A4428">
        <w:rPr>
          <w:sz w:val="24"/>
          <w:szCs w:val="24"/>
        </w:rPr>
        <w:t>Las entidades de previsión social voluntaria registradas en el País Vasco aparecen como sujeto responsable con personalidad jurídica propia y separada de la de las entidades e instituciones promotoras, tras constituirse válidamente con arreglo a la ley autonómica correspondiente. Realidad que ha permitido que estas entidades supongan una personificación jurídica de enorme importancia social y económico-financiera.</w:t>
      </w:r>
    </w:p>
    <w:p w:rsidR="00B81E4C" w:rsidRPr="00B81E4C" w:rsidRDefault="00B81E4C" w:rsidP="00217299">
      <w:pPr>
        <w:ind w:firstLine="708"/>
        <w:jc w:val="both"/>
        <w:rPr>
          <w:sz w:val="24"/>
          <w:szCs w:val="24"/>
        </w:rPr>
      </w:pPr>
      <w:r w:rsidRPr="00B81E4C">
        <w:rPr>
          <w:sz w:val="24"/>
          <w:szCs w:val="24"/>
        </w:rPr>
        <w:t>La ley se compone de exposición de motivos, 78 artículos, integrados en XVI capítulos, seis disposiciones adicionales, cuatro transitorias, una derogatoria y tres finales, resumiéndose a continuación el contenido de cada apartado co</w:t>
      </w:r>
      <w:r w:rsidR="00217299">
        <w:rPr>
          <w:sz w:val="24"/>
          <w:szCs w:val="24"/>
        </w:rPr>
        <w:t>n sus novedades más importantes:</w:t>
      </w:r>
    </w:p>
    <w:p w:rsidR="00B81E4C" w:rsidRPr="00217299" w:rsidRDefault="00B81E4C" w:rsidP="00217299">
      <w:pPr>
        <w:pStyle w:val="Prrafodelista"/>
        <w:numPr>
          <w:ilvl w:val="0"/>
          <w:numId w:val="1"/>
        </w:numPr>
        <w:jc w:val="both"/>
        <w:rPr>
          <w:sz w:val="24"/>
          <w:szCs w:val="24"/>
        </w:rPr>
      </w:pPr>
      <w:r w:rsidRPr="00217299">
        <w:rPr>
          <w:sz w:val="24"/>
          <w:szCs w:val="24"/>
        </w:rPr>
        <w:t>El capítulo I regula el objeto de la ley y los principios básicos informadores del régimen de previsión social voluntaria.</w:t>
      </w:r>
    </w:p>
    <w:p w:rsidR="00B81E4C" w:rsidRPr="00217299" w:rsidRDefault="00B81E4C" w:rsidP="00217299">
      <w:pPr>
        <w:pStyle w:val="Prrafodelista"/>
        <w:numPr>
          <w:ilvl w:val="0"/>
          <w:numId w:val="1"/>
        </w:numPr>
        <w:jc w:val="both"/>
        <w:rPr>
          <w:sz w:val="24"/>
          <w:szCs w:val="24"/>
        </w:rPr>
      </w:pPr>
      <w:r w:rsidRPr="00217299">
        <w:rPr>
          <w:sz w:val="24"/>
          <w:szCs w:val="24"/>
        </w:rPr>
        <w:t>El Capítulo II establece el ámbito de aplicación de la ley, tanto a nivel territorial como personal.</w:t>
      </w:r>
    </w:p>
    <w:p w:rsidR="00B81E4C" w:rsidRPr="00217299" w:rsidRDefault="00B81E4C" w:rsidP="00217299">
      <w:pPr>
        <w:pStyle w:val="Prrafodelista"/>
        <w:numPr>
          <w:ilvl w:val="0"/>
          <w:numId w:val="1"/>
        </w:numPr>
        <w:jc w:val="both"/>
        <w:rPr>
          <w:sz w:val="24"/>
          <w:szCs w:val="24"/>
        </w:rPr>
      </w:pPr>
      <w:r w:rsidRPr="00217299">
        <w:rPr>
          <w:sz w:val="24"/>
          <w:szCs w:val="24"/>
        </w:rPr>
        <w:t>El Capítulo III define y clasifica por primera vez a las entidades de previsión social voluntaria en función de las contingencias cubiertas y del vínculo entre los sujetos protegidos, regulando las relaciones de integración entre planes y entidades.</w:t>
      </w:r>
    </w:p>
    <w:p w:rsidR="00B81E4C" w:rsidRPr="00217299" w:rsidRDefault="00B81E4C" w:rsidP="00217299">
      <w:pPr>
        <w:pStyle w:val="Prrafodelista"/>
        <w:numPr>
          <w:ilvl w:val="0"/>
          <w:numId w:val="1"/>
        </w:numPr>
        <w:jc w:val="both"/>
        <w:rPr>
          <w:sz w:val="24"/>
          <w:szCs w:val="24"/>
        </w:rPr>
      </w:pPr>
      <w:r w:rsidRPr="00217299">
        <w:rPr>
          <w:sz w:val="24"/>
          <w:szCs w:val="24"/>
        </w:rPr>
        <w:t>El Capítulo IV conceptúa y clasifica a los planes de previsión social, elevando al rango legal las regulaciones reglamentarias anteriores.</w:t>
      </w:r>
    </w:p>
    <w:p w:rsidR="00B81E4C" w:rsidRPr="00217299" w:rsidRDefault="00B81E4C" w:rsidP="00217299">
      <w:pPr>
        <w:pStyle w:val="Prrafodelista"/>
        <w:numPr>
          <w:ilvl w:val="0"/>
          <w:numId w:val="1"/>
        </w:numPr>
        <w:jc w:val="both"/>
        <w:rPr>
          <w:sz w:val="24"/>
          <w:szCs w:val="24"/>
        </w:rPr>
      </w:pPr>
      <w:r w:rsidRPr="00217299">
        <w:rPr>
          <w:sz w:val="24"/>
          <w:szCs w:val="24"/>
        </w:rPr>
        <w:t xml:space="preserve">El Capítulo V establece la ordenación, la conceptualización precisa y los principios básicos de los planes y entidades de previsión social voluntaria preferentes, destacando su origen y constitución por vía de convenio o pacto de empresa, y resaltando el principio de no discriminación en la incorporación </w:t>
      </w:r>
      <w:r w:rsidRPr="00217299">
        <w:rPr>
          <w:sz w:val="24"/>
          <w:szCs w:val="24"/>
        </w:rPr>
        <w:lastRenderedPageBreak/>
        <w:t xml:space="preserve">de los socios y la percepción de la prestación preferentemente en forma de </w:t>
      </w:r>
      <w:r w:rsidR="00217299">
        <w:rPr>
          <w:sz w:val="24"/>
          <w:szCs w:val="24"/>
        </w:rPr>
        <w:t>renta, así como la constitución</w:t>
      </w:r>
      <w:r w:rsidRPr="00217299">
        <w:rPr>
          <w:sz w:val="24"/>
          <w:szCs w:val="24"/>
        </w:rPr>
        <w:t xml:space="preserve"> y funciones de la comisión de seguimiento. De esta forma, se constituyen como elemento fundamental del desarrollo de la previsión social complementaria en el futuro.</w:t>
      </w:r>
    </w:p>
    <w:p w:rsidR="00B81E4C" w:rsidRPr="00217299" w:rsidRDefault="00B81E4C" w:rsidP="00217299">
      <w:pPr>
        <w:pStyle w:val="Prrafodelista"/>
        <w:numPr>
          <w:ilvl w:val="0"/>
          <w:numId w:val="1"/>
        </w:numPr>
        <w:jc w:val="both"/>
        <w:rPr>
          <w:sz w:val="24"/>
          <w:szCs w:val="24"/>
        </w:rPr>
      </w:pPr>
      <w:r w:rsidRPr="00217299">
        <w:rPr>
          <w:sz w:val="24"/>
          <w:szCs w:val="24"/>
        </w:rPr>
        <w:t>En el Capítulo VI se establece una nueva definición y clasificación de los socios y las personas beneficiarias, regulando asimismo sus derechos y sus obligaciones. Entre aquellos se destaca la posibilidad de la movilización individual, por parte del socio o socia ordinario y del beneficiario o beneficiaria de una entidad de previsión social voluntaria que integre planes de previsión social, de sus derechos económicos a otra entidad de previsión social voluntaria, de acuerdo con lo que se establece en la presente Ley y normativa de desarrollo.</w:t>
      </w:r>
      <w:r w:rsidR="00217299">
        <w:rPr>
          <w:sz w:val="24"/>
          <w:szCs w:val="24"/>
        </w:rPr>
        <w:t xml:space="preserve"> </w:t>
      </w:r>
      <w:r w:rsidRPr="00217299">
        <w:rPr>
          <w:sz w:val="24"/>
          <w:szCs w:val="24"/>
        </w:rPr>
        <w:t>Asimismo, se mantiene, para aquel socio o socia de una entidad de previsión social voluntaria de modalidad individual o asociada y cuya primera aportación tenga una antigüedad superior a diez años, la posibilidad del rescate de los derechos económicos con cargo a las reservas acumuladas de acuerdo con el sistema financiero utilizado.</w:t>
      </w:r>
    </w:p>
    <w:p w:rsidR="00B81E4C" w:rsidRPr="00217299" w:rsidRDefault="00B81E4C" w:rsidP="00217299">
      <w:pPr>
        <w:pStyle w:val="Prrafodelista"/>
        <w:numPr>
          <w:ilvl w:val="0"/>
          <w:numId w:val="1"/>
        </w:numPr>
        <w:jc w:val="both"/>
        <w:rPr>
          <w:sz w:val="24"/>
          <w:szCs w:val="24"/>
        </w:rPr>
      </w:pPr>
      <w:r w:rsidRPr="00217299">
        <w:rPr>
          <w:sz w:val="24"/>
          <w:szCs w:val="24"/>
        </w:rPr>
        <w:t>En el Capítulo VII se concreta la acción protectora, con la adecuada delimitación conceptual de todas las contingencias y régimen jurídico de las correspondientes prestaciones.</w:t>
      </w:r>
    </w:p>
    <w:p w:rsidR="00B81E4C" w:rsidRPr="00217299" w:rsidRDefault="00B81E4C" w:rsidP="00217299">
      <w:pPr>
        <w:pStyle w:val="Prrafodelista"/>
        <w:numPr>
          <w:ilvl w:val="0"/>
          <w:numId w:val="1"/>
        </w:numPr>
        <w:jc w:val="both"/>
        <w:rPr>
          <w:sz w:val="24"/>
          <w:szCs w:val="24"/>
        </w:rPr>
      </w:pPr>
      <w:r w:rsidRPr="00217299">
        <w:rPr>
          <w:sz w:val="24"/>
          <w:szCs w:val="24"/>
        </w:rPr>
        <w:t xml:space="preserve">El Capítulo VIII pormenoriza todo el proceso vital de las entidades de previsión social voluntaria regulando su constitución, inscripción en el Registro, fusión, escisión, disolución y liquidación. </w:t>
      </w:r>
    </w:p>
    <w:p w:rsidR="00B81E4C" w:rsidRPr="00217299" w:rsidRDefault="00B81E4C" w:rsidP="00217299">
      <w:pPr>
        <w:pStyle w:val="Prrafodelista"/>
        <w:numPr>
          <w:ilvl w:val="0"/>
          <w:numId w:val="1"/>
        </w:numPr>
        <w:jc w:val="both"/>
        <w:rPr>
          <w:sz w:val="24"/>
          <w:szCs w:val="24"/>
        </w:rPr>
      </w:pPr>
      <w:r w:rsidRPr="00217299">
        <w:rPr>
          <w:sz w:val="24"/>
          <w:szCs w:val="24"/>
        </w:rPr>
        <w:t>En el capítulo IX se establece el régimen jurídico de los planes de previsión social, regulándose desde su creación hasta su extinción, pasando por la forma de integración en una entidad de previsión social voluntaria y el traslado de los planes de previsión social.</w:t>
      </w:r>
    </w:p>
    <w:p w:rsidR="00B81E4C" w:rsidRPr="00217299" w:rsidRDefault="00B81E4C" w:rsidP="00217299">
      <w:pPr>
        <w:pStyle w:val="Prrafodelista"/>
        <w:numPr>
          <w:ilvl w:val="0"/>
          <w:numId w:val="1"/>
        </w:numPr>
        <w:jc w:val="both"/>
        <w:rPr>
          <w:sz w:val="24"/>
          <w:szCs w:val="24"/>
        </w:rPr>
      </w:pPr>
      <w:r w:rsidRPr="00217299">
        <w:rPr>
          <w:sz w:val="24"/>
          <w:szCs w:val="24"/>
        </w:rPr>
        <w:t>El Capítulo X, dedicado a los órganos de gobierno de las entidades de previsión social voluntaria establece la fijación del régimen de mayorías para la toma de decisiones, clarifica la posibilidad de participación en las asambleas mediante delegados y representantes, y regula la figura de la dirección. Se prevé igualmente la exigencia de unos conocimientos mínimos en previsión social para los miembros de la junta de gobierno. Además, en cumplimiento de la Ley 4/2005, para la Igualdad de Mujeres y Hombres, se contempla la representación equilibrada de ambos sexos proporcional al porcentaje de hombres y mujeres asociadas y beneficiarias.</w:t>
      </w:r>
    </w:p>
    <w:p w:rsidR="00B81E4C" w:rsidRPr="00217299" w:rsidRDefault="00B81E4C" w:rsidP="00217299">
      <w:pPr>
        <w:pStyle w:val="Prrafodelista"/>
        <w:numPr>
          <w:ilvl w:val="0"/>
          <w:numId w:val="1"/>
        </w:numPr>
        <w:jc w:val="both"/>
        <w:rPr>
          <w:sz w:val="24"/>
          <w:szCs w:val="24"/>
        </w:rPr>
      </w:pPr>
      <w:r w:rsidRPr="00217299">
        <w:rPr>
          <w:sz w:val="24"/>
          <w:szCs w:val="24"/>
        </w:rPr>
        <w:t>El Capítulo XI se dedica a regular los fondos y garantías financieras, gastos de administración y principios de inversión a aplicar por las entidades.</w:t>
      </w:r>
    </w:p>
    <w:p w:rsidR="00B81E4C" w:rsidRPr="00217299" w:rsidRDefault="00B81E4C" w:rsidP="00217299">
      <w:pPr>
        <w:pStyle w:val="Prrafodelista"/>
        <w:numPr>
          <w:ilvl w:val="0"/>
          <w:numId w:val="1"/>
        </w:numPr>
        <w:jc w:val="both"/>
        <w:rPr>
          <w:sz w:val="24"/>
          <w:szCs w:val="24"/>
        </w:rPr>
      </w:pPr>
      <w:r w:rsidRPr="00217299">
        <w:rPr>
          <w:sz w:val="24"/>
          <w:szCs w:val="24"/>
        </w:rPr>
        <w:t>En el capítulo XII se recoge el régimen administrativo de supervisión, control, inspección e intervención, que tiene por objeto procurar el cumplimiento de la normativa vigente aplicable a estas entidades.</w:t>
      </w:r>
    </w:p>
    <w:p w:rsidR="00B81E4C" w:rsidRPr="00217299" w:rsidRDefault="00B81E4C" w:rsidP="00217299">
      <w:pPr>
        <w:pStyle w:val="Prrafodelista"/>
        <w:numPr>
          <w:ilvl w:val="0"/>
          <w:numId w:val="1"/>
        </w:numPr>
        <w:jc w:val="both"/>
        <w:rPr>
          <w:sz w:val="24"/>
          <w:szCs w:val="24"/>
        </w:rPr>
      </w:pPr>
      <w:r w:rsidRPr="00217299">
        <w:rPr>
          <w:sz w:val="24"/>
          <w:szCs w:val="24"/>
        </w:rPr>
        <w:lastRenderedPageBreak/>
        <w:t>El Capítulo XIII está de dicado a la regulación legal de las infracciones y sanciones trata</w:t>
      </w:r>
    </w:p>
    <w:p w:rsidR="00B81E4C" w:rsidRPr="00217299" w:rsidRDefault="00B81E4C" w:rsidP="00217299">
      <w:pPr>
        <w:pStyle w:val="Prrafodelista"/>
        <w:numPr>
          <w:ilvl w:val="0"/>
          <w:numId w:val="1"/>
        </w:numPr>
        <w:jc w:val="both"/>
        <w:rPr>
          <w:sz w:val="24"/>
          <w:szCs w:val="24"/>
        </w:rPr>
      </w:pPr>
      <w:r w:rsidRPr="00217299">
        <w:rPr>
          <w:sz w:val="24"/>
          <w:szCs w:val="24"/>
        </w:rPr>
        <w:t>El Capítulo XIV trata sobre el Registro de Entidades de Previsión Social Voluntaria y prevé la creación de un fichero general de socios que permita, la ordenación de la totalidad de socios de las entidades de previsión social voluntaria en el ámbito de la Comunidad Autónoma.</w:t>
      </w:r>
    </w:p>
    <w:p w:rsidR="00B81E4C" w:rsidRPr="00217299" w:rsidRDefault="00B81E4C" w:rsidP="00217299">
      <w:pPr>
        <w:pStyle w:val="Prrafodelista"/>
        <w:numPr>
          <w:ilvl w:val="0"/>
          <w:numId w:val="1"/>
        </w:numPr>
        <w:jc w:val="both"/>
        <w:rPr>
          <w:sz w:val="24"/>
          <w:szCs w:val="24"/>
        </w:rPr>
      </w:pPr>
      <w:r w:rsidRPr="00217299">
        <w:rPr>
          <w:sz w:val="24"/>
          <w:szCs w:val="24"/>
        </w:rPr>
        <w:t>En el Capítulo XV se establece el régimen aplicable a las federaciones y plantea la creación y constitución de un consejo vasco de la previsión social. Este consejo deberá coadyuvar al eficaz cumplimiento de los fines perseguidos, contribuyendo a garantizar una adecuación permanente del marco de actuación definido en el Plan de Previsión Social Complementaria. Su intervención permitirá velar por el ajuste entre los medios y los objetivos establecidos y, finalmente, modular la intensidad y ritmo de aplicación de las medidas y acciones previstas.</w:t>
      </w:r>
    </w:p>
    <w:p w:rsidR="00B81E4C" w:rsidRPr="00217299" w:rsidRDefault="00B81E4C" w:rsidP="00217299">
      <w:pPr>
        <w:pStyle w:val="Prrafodelista"/>
        <w:numPr>
          <w:ilvl w:val="0"/>
          <w:numId w:val="1"/>
        </w:numPr>
        <w:jc w:val="both"/>
        <w:rPr>
          <w:sz w:val="24"/>
          <w:szCs w:val="24"/>
        </w:rPr>
      </w:pPr>
      <w:r w:rsidRPr="00217299">
        <w:rPr>
          <w:sz w:val="24"/>
          <w:szCs w:val="24"/>
        </w:rPr>
        <w:t>Por último, el Capítulo XVI encarga al Gobierno las medidas de fomento y promoción que se habían propuesto en el Plan de Previsión Social Complementaria y regula el carácter de los datos y documentación que se encuentra en los expedientes sobre esta materia, así como la actividad publicitaria de las entidades.</w:t>
      </w:r>
    </w:p>
    <w:p w:rsidR="00217299" w:rsidRDefault="00217299" w:rsidP="009A4428">
      <w:pPr>
        <w:jc w:val="both"/>
        <w:rPr>
          <w:sz w:val="24"/>
          <w:szCs w:val="24"/>
        </w:rPr>
      </w:pPr>
    </w:p>
    <w:p w:rsidR="009A4428" w:rsidRPr="009A4428" w:rsidRDefault="00217299" w:rsidP="00217299">
      <w:pPr>
        <w:ind w:firstLine="360"/>
        <w:jc w:val="both"/>
        <w:rPr>
          <w:sz w:val="24"/>
          <w:szCs w:val="24"/>
        </w:rPr>
      </w:pPr>
      <w:r>
        <w:rPr>
          <w:sz w:val="24"/>
          <w:szCs w:val="24"/>
        </w:rPr>
        <w:t>OVES/GEEB</w:t>
      </w:r>
    </w:p>
    <w:sectPr w:rsidR="009A4428" w:rsidRPr="009A4428" w:rsidSect="00904B5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23D" w:rsidRDefault="001F723D" w:rsidP="005A41BE">
      <w:pPr>
        <w:spacing w:after="0" w:line="240" w:lineRule="auto"/>
      </w:pPr>
      <w:r>
        <w:separator/>
      </w:r>
    </w:p>
  </w:endnote>
  <w:endnote w:type="continuationSeparator" w:id="0">
    <w:p w:rsidR="001F723D" w:rsidRDefault="001F723D" w:rsidP="005A4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EC" w:rsidRDefault="009D2EE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0943"/>
      <w:docPartObj>
        <w:docPartGallery w:val="Page Numbers (Bottom of Page)"/>
        <w:docPartUnique/>
      </w:docPartObj>
    </w:sdtPr>
    <w:sdtContent>
      <w:p w:rsidR="009D2EEC" w:rsidRDefault="009D2EEC">
        <w:pPr>
          <w:pStyle w:val="Piedepgina"/>
          <w:jc w:val="right"/>
        </w:pPr>
        <w:r>
          <w:fldChar w:fldCharType="begin"/>
        </w:r>
        <w:r>
          <w:instrText xml:space="preserve"> PAGE   \* MERGEFORMAT </w:instrText>
        </w:r>
        <w:r>
          <w:fldChar w:fldCharType="separate"/>
        </w:r>
        <w:r>
          <w:rPr>
            <w:noProof/>
          </w:rPr>
          <w:t>1</w:t>
        </w:r>
        <w:r>
          <w:fldChar w:fldCharType="end"/>
        </w:r>
      </w:p>
    </w:sdtContent>
  </w:sdt>
  <w:p w:rsidR="009D2EEC" w:rsidRDefault="009D2EE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EC" w:rsidRDefault="009D2E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23D" w:rsidRDefault="001F723D" w:rsidP="005A41BE">
      <w:pPr>
        <w:spacing w:after="0" w:line="240" w:lineRule="auto"/>
      </w:pPr>
      <w:r>
        <w:separator/>
      </w:r>
    </w:p>
  </w:footnote>
  <w:footnote w:type="continuationSeparator" w:id="0">
    <w:p w:rsidR="001F723D" w:rsidRDefault="001F723D" w:rsidP="005A41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EC" w:rsidRDefault="009D2EE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1BE" w:rsidRPr="005A41BE" w:rsidRDefault="005A41BE" w:rsidP="005A41BE">
    <w:pPr>
      <w:pStyle w:val="Encabezado"/>
      <w:jc w:val="right"/>
    </w:pPr>
    <w:r w:rsidRPr="005A41BE">
      <w:rPr>
        <w:noProof/>
        <w:lang w:eastAsia="es-ES"/>
      </w:rPr>
      <w:drawing>
        <wp:inline distT="0" distB="0" distL="0" distR="0">
          <wp:extent cx="1621155" cy="548005"/>
          <wp:effectExtent l="19050" t="0" r="0" b="0"/>
          <wp:docPr id="1" name="Imagen 2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1155" cy="54800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EC" w:rsidRDefault="009D2EE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2932CA"/>
    <w:multiLevelType w:val="hybridMultilevel"/>
    <w:tmpl w:val="4372CD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755518"/>
    <w:rsid w:val="00013BEA"/>
    <w:rsid w:val="00172BC4"/>
    <w:rsid w:val="001F723D"/>
    <w:rsid w:val="00217299"/>
    <w:rsid w:val="00275167"/>
    <w:rsid w:val="002B4C49"/>
    <w:rsid w:val="003636BE"/>
    <w:rsid w:val="00560E44"/>
    <w:rsid w:val="005A41BE"/>
    <w:rsid w:val="00755518"/>
    <w:rsid w:val="00904B57"/>
    <w:rsid w:val="009A4428"/>
    <w:rsid w:val="009D2EEC"/>
    <w:rsid w:val="00B81E4C"/>
    <w:rsid w:val="00B9697C"/>
    <w:rsid w:val="00BB5513"/>
    <w:rsid w:val="00BC05E2"/>
    <w:rsid w:val="00BE2658"/>
    <w:rsid w:val="00E52D2B"/>
    <w:rsid w:val="00E53C82"/>
    <w:rsid w:val="00F2108B"/>
    <w:rsid w:val="00F222E2"/>
    <w:rsid w:val="00F254F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7"/>
  </w:style>
  <w:style w:type="paragraph" w:styleId="Ttulo1">
    <w:name w:val="heading 1"/>
    <w:basedOn w:val="Normal"/>
    <w:next w:val="Normal"/>
    <w:link w:val="Ttulo1Car"/>
    <w:uiPriority w:val="9"/>
    <w:qFormat/>
    <w:rsid w:val="002172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9A44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9A4428"/>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217299"/>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217299"/>
    <w:pPr>
      <w:ind w:left="720"/>
      <w:contextualSpacing/>
    </w:pPr>
  </w:style>
  <w:style w:type="paragraph" w:styleId="Encabezado">
    <w:name w:val="header"/>
    <w:basedOn w:val="Normal"/>
    <w:link w:val="EncabezadoCar"/>
    <w:uiPriority w:val="99"/>
    <w:semiHidden/>
    <w:unhideWhenUsed/>
    <w:rsid w:val="005A41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A41BE"/>
  </w:style>
  <w:style w:type="paragraph" w:styleId="Piedepgina">
    <w:name w:val="footer"/>
    <w:basedOn w:val="Normal"/>
    <w:link w:val="PiedepginaCar"/>
    <w:uiPriority w:val="99"/>
    <w:unhideWhenUsed/>
    <w:rsid w:val="005A41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41BE"/>
  </w:style>
  <w:style w:type="paragraph" w:styleId="Textodeglobo">
    <w:name w:val="Balloon Text"/>
    <w:basedOn w:val="Normal"/>
    <w:link w:val="TextodegloboCar"/>
    <w:uiPriority w:val="99"/>
    <w:semiHidden/>
    <w:unhideWhenUsed/>
    <w:rsid w:val="005A41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1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119544">
      <w:bodyDiv w:val="1"/>
      <w:marLeft w:val="0"/>
      <w:marRight w:val="0"/>
      <w:marTop w:val="0"/>
      <w:marBottom w:val="0"/>
      <w:divBdr>
        <w:top w:val="none" w:sz="0" w:space="0" w:color="auto"/>
        <w:left w:val="none" w:sz="0" w:space="0" w:color="auto"/>
        <w:bottom w:val="none" w:sz="0" w:space="0" w:color="auto"/>
        <w:right w:val="none" w:sz="0" w:space="0" w:color="auto"/>
      </w:divBdr>
    </w:div>
    <w:div w:id="317534702">
      <w:bodyDiv w:val="1"/>
      <w:marLeft w:val="0"/>
      <w:marRight w:val="0"/>
      <w:marTop w:val="0"/>
      <w:marBottom w:val="0"/>
      <w:divBdr>
        <w:top w:val="none" w:sz="0" w:space="0" w:color="auto"/>
        <w:left w:val="none" w:sz="0" w:space="0" w:color="auto"/>
        <w:bottom w:val="none" w:sz="0" w:space="0" w:color="auto"/>
        <w:right w:val="none" w:sz="0" w:space="0" w:color="auto"/>
      </w:divBdr>
    </w:div>
    <w:div w:id="710418963">
      <w:bodyDiv w:val="1"/>
      <w:marLeft w:val="0"/>
      <w:marRight w:val="0"/>
      <w:marTop w:val="0"/>
      <w:marBottom w:val="0"/>
      <w:divBdr>
        <w:top w:val="none" w:sz="0" w:space="0" w:color="auto"/>
        <w:left w:val="none" w:sz="0" w:space="0" w:color="auto"/>
        <w:bottom w:val="none" w:sz="0" w:space="0" w:color="auto"/>
        <w:right w:val="none" w:sz="0" w:space="0" w:color="auto"/>
      </w:divBdr>
    </w:div>
    <w:div w:id="1302999344">
      <w:bodyDiv w:val="1"/>
      <w:marLeft w:val="0"/>
      <w:marRight w:val="0"/>
      <w:marTop w:val="0"/>
      <w:marBottom w:val="0"/>
      <w:divBdr>
        <w:top w:val="none" w:sz="0" w:space="0" w:color="auto"/>
        <w:left w:val="none" w:sz="0" w:space="0" w:color="auto"/>
        <w:bottom w:val="none" w:sz="0" w:space="0" w:color="auto"/>
        <w:right w:val="none" w:sz="0" w:space="0" w:color="auto"/>
      </w:divBdr>
    </w:div>
    <w:div w:id="1438283347">
      <w:bodyDiv w:val="1"/>
      <w:marLeft w:val="0"/>
      <w:marRight w:val="0"/>
      <w:marTop w:val="0"/>
      <w:marBottom w:val="0"/>
      <w:divBdr>
        <w:top w:val="none" w:sz="0" w:space="0" w:color="auto"/>
        <w:left w:val="none" w:sz="0" w:space="0" w:color="auto"/>
        <w:bottom w:val="none" w:sz="0" w:space="0" w:color="auto"/>
        <w:right w:val="none" w:sz="0" w:space="0" w:color="auto"/>
      </w:divBdr>
    </w:div>
    <w:div w:id="1715541161">
      <w:bodyDiv w:val="1"/>
      <w:marLeft w:val="0"/>
      <w:marRight w:val="0"/>
      <w:marTop w:val="0"/>
      <w:marBottom w:val="0"/>
      <w:divBdr>
        <w:top w:val="none" w:sz="0" w:space="0" w:color="auto"/>
        <w:left w:val="none" w:sz="0" w:space="0" w:color="auto"/>
        <w:bottom w:val="none" w:sz="0" w:space="0" w:color="auto"/>
        <w:right w:val="none" w:sz="0" w:space="0" w:color="auto"/>
      </w:divBdr>
    </w:div>
    <w:div w:id="1906254462">
      <w:bodyDiv w:val="1"/>
      <w:marLeft w:val="0"/>
      <w:marRight w:val="0"/>
      <w:marTop w:val="0"/>
      <w:marBottom w:val="0"/>
      <w:divBdr>
        <w:top w:val="none" w:sz="0" w:space="0" w:color="auto"/>
        <w:left w:val="none" w:sz="0" w:space="0" w:color="auto"/>
        <w:bottom w:val="none" w:sz="0" w:space="0" w:color="auto"/>
        <w:right w:val="none" w:sz="0" w:space="0" w:color="auto"/>
      </w:divBdr>
    </w:div>
    <w:div w:id="208622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1436</Words>
  <Characters>7904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aetxebarria023</dc:creator>
  <cp:lastModifiedBy>aetxebarria023</cp:lastModifiedBy>
  <cp:revision>4</cp:revision>
  <dcterms:created xsi:type="dcterms:W3CDTF">2018-12-10T12:05:00Z</dcterms:created>
  <dcterms:modified xsi:type="dcterms:W3CDTF">2018-12-10T12:06:00Z</dcterms:modified>
</cp:coreProperties>
</file>